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仿宋" w:hAnsi="华文仿宋" w:eastAsia="华文仿宋"/>
          <w:bCs/>
          <w:color w:val="000000"/>
          <w:sz w:val="32"/>
          <w:szCs w:val="32"/>
        </w:rPr>
      </w:pPr>
      <w:r>
        <w:rPr>
          <w:rFonts w:hint="eastAsia" w:ascii="华文仿宋" w:hAnsi="华文仿宋" w:eastAsia="华文仿宋"/>
          <w:b/>
          <w:bCs/>
          <w:color w:val="000000"/>
          <w:sz w:val="32"/>
          <w:szCs w:val="32"/>
        </w:rPr>
        <w:t>在职农业推广硕士学位论文答辩流程及说明</w:t>
      </w:r>
    </w:p>
    <w:p>
      <w:pPr>
        <w:widowControl/>
        <w:spacing w:line="400" w:lineRule="atLeast"/>
        <w:ind w:firstLine="422"/>
        <w:jc w:val="left"/>
        <w:rPr>
          <w:rFonts w:ascii="华文仿宋" w:hAnsi="华文仿宋" w:eastAsia="华文仿宋" w:cs="宋体"/>
          <w:b/>
          <w:bCs/>
          <w:color w:val="000000"/>
          <w:kern w:val="0"/>
          <w:sz w:val="24"/>
        </w:rPr>
      </w:pPr>
      <w:r>
        <w:rPr>
          <w:rFonts w:hint="eastAsia" w:ascii="华文仿宋" w:hAnsi="华文仿宋" w:eastAsia="华文仿宋" w:cs="宋体"/>
          <w:b/>
          <w:bCs/>
          <w:color w:val="000000"/>
          <w:kern w:val="0"/>
          <w:sz w:val="24"/>
        </w:rPr>
        <w:t>一、答辩环节</w:t>
      </w:r>
    </w:p>
    <w:p>
      <w:pPr>
        <w:widowControl/>
        <w:spacing w:line="400" w:lineRule="atLeast"/>
        <w:ind w:firstLine="422"/>
        <w:jc w:val="left"/>
        <w:rPr>
          <w:rFonts w:ascii="华文仿宋" w:hAnsi="华文仿宋" w:eastAsia="华文仿宋" w:cs="宋体"/>
          <w:bCs/>
          <w:color w:val="000000"/>
          <w:kern w:val="0"/>
          <w:sz w:val="24"/>
        </w:rPr>
      </w:pPr>
      <w:r>
        <w:rPr>
          <w:rFonts w:hint="eastAsia" w:ascii="华文仿宋" w:hAnsi="华文仿宋" w:eastAsia="华文仿宋" w:cs="宋体"/>
          <w:bCs/>
          <w:color w:val="000000"/>
          <w:kern w:val="0"/>
          <w:sz w:val="24"/>
        </w:rPr>
        <w:t>答辩过程分</w:t>
      </w:r>
      <w:r>
        <w:rPr>
          <w:rFonts w:ascii="华文仿宋" w:hAnsi="华文仿宋" w:eastAsia="华文仿宋" w:cs="宋体"/>
          <w:bCs/>
          <w:color w:val="000000"/>
          <w:kern w:val="0"/>
          <w:sz w:val="24"/>
        </w:rPr>
        <w:t>7</w:t>
      </w:r>
      <w:r>
        <w:rPr>
          <w:rFonts w:hint="eastAsia" w:ascii="华文仿宋" w:hAnsi="华文仿宋" w:eastAsia="华文仿宋" w:cs="宋体"/>
          <w:bCs/>
          <w:color w:val="000000"/>
          <w:kern w:val="0"/>
          <w:sz w:val="24"/>
        </w:rPr>
        <w:t>个环节：资格审查</w:t>
      </w:r>
      <w:r>
        <w:rPr>
          <w:rFonts w:ascii="华文仿宋" w:hAnsi="华文仿宋" w:eastAsia="华文仿宋" w:cs="宋体"/>
          <w:bCs/>
          <w:color w:val="000000"/>
          <w:kern w:val="0"/>
          <w:sz w:val="24"/>
        </w:rPr>
        <w:t>—</w:t>
      </w:r>
      <w:r>
        <w:rPr>
          <w:rFonts w:hint="eastAsia" w:ascii="华文仿宋" w:hAnsi="华文仿宋" w:eastAsia="华文仿宋" w:cs="宋体"/>
          <w:bCs/>
          <w:color w:val="000000"/>
          <w:kern w:val="0"/>
          <w:sz w:val="24"/>
        </w:rPr>
        <w:t>论文复制比检测</w:t>
      </w:r>
      <w:r>
        <w:rPr>
          <w:rFonts w:ascii="华文仿宋" w:hAnsi="华文仿宋" w:eastAsia="华文仿宋" w:cs="宋体"/>
          <w:bCs/>
          <w:color w:val="000000"/>
          <w:kern w:val="0"/>
          <w:sz w:val="24"/>
        </w:rPr>
        <w:t>—</w:t>
      </w:r>
      <w:r>
        <w:rPr>
          <w:rFonts w:hint="eastAsia" w:ascii="华文仿宋" w:hAnsi="华文仿宋" w:eastAsia="华文仿宋" w:cs="宋体"/>
          <w:bCs/>
          <w:color w:val="000000"/>
          <w:kern w:val="0"/>
          <w:sz w:val="24"/>
        </w:rPr>
        <w:t>论文评审</w:t>
      </w:r>
      <w:r>
        <w:rPr>
          <w:rFonts w:ascii="华文仿宋" w:hAnsi="华文仿宋" w:eastAsia="华文仿宋" w:cs="宋体"/>
          <w:bCs/>
          <w:color w:val="000000"/>
          <w:kern w:val="0"/>
          <w:sz w:val="24"/>
        </w:rPr>
        <w:t>—</w:t>
      </w:r>
      <w:r>
        <w:rPr>
          <w:rFonts w:hint="eastAsia" w:ascii="华文仿宋" w:hAnsi="华文仿宋" w:eastAsia="华文仿宋" w:cs="宋体"/>
          <w:bCs/>
          <w:color w:val="000000"/>
          <w:kern w:val="0"/>
          <w:sz w:val="24"/>
        </w:rPr>
        <w:t>发布答辩公告</w:t>
      </w:r>
      <w:r>
        <w:rPr>
          <w:rFonts w:ascii="华文仿宋" w:hAnsi="华文仿宋" w:eastAsia="华文仿宋" w:cs="宋体"/>
          <w:bCs/>
          <w:color w:val="000000"/>
          <w:kern w:val="0"/>
          <w:sz w:val="24"/>
        </w:rPr>
        <w:t>—</w:t>
      </w:r>
      <w:r>
        <w:rPr>
          <w:rFonts w:hint="eastAsia" w:ascii="华文仿宋" w:hAnsi="华文仿宋" w:eastAsia="华文仿宋" w:cs="宋体"/>
          <w:bCs/>
          <w:color w:val="000000"/>
          <w:kern w:val="0"/>
          <w:sz w:val="24"/>
        </w:rPr>
        <w:t>答辩</w:t>
      </w:r>
      <w:r>
        <w:rPr>
          <w:rFonts w:ascii="华文仿宋" w:hAnsi="华文仿宋" w:eastAsia="华文仿宋" w:cs="宋体"/>
          <w:bCs/>
          <w:color w:val="000000"/>
          <w:kern w:val="0"/>
          <w:sz w:val="24"/>
        </w:rPr>
        <w:t>—</w:t>
      </w:r>
      <w:r>
        <w:rPr>
          <w:rFonts w:hint="eastAsia" w:ascii="华文仿宋" w:hAnsi="华文仿宋" w:eastAsia="华文仿宋" w:cs="宋体"/>
          <w:bCs/>
          <w:color w:val="000000"/>
          <w:kern w:val="0"/>
          <w:sz w:val="24"/>
        </w:rPr>
        <w:t>学位信息采集</w:t>
      </w:r>
      <w:r>
        <w:rPr>
          <w:rFonts w:ascii="华文仿宋" w:hAnsi="华文仿宋" w:eastAsia="华文仿宋" w:cs="宋体"/>
          <w:bCs/>
          <w:color w:val="000000"/>
          <w:kern w:val="0"/>
          <w:sz w:val="24"/>
        </w:rPr>
        <w:t>—</w:t>
      </w:r>
      <w:r>
        <w:rPr>
          <w:rFonts w:hint="eastAsia" w:ascii="华文仿宋" w:hAnsi="华文仿宋" w:eastAsia="华文仿宋" w:cs="宋体"/>
          <w:bCs/>
          <w:color w:val="000000"/>
          <w:kern w:val="0"/>
          <w:sz w:val="24"/>
        </w:rPr>
        <w:t>答辩后提交材料。</w:t>
      </w:r>
    </w:p>
    <w:p>
      <w:pPr>
        <w:widowControl/>
        <w:spacing w:line="400" w:lineRule="atLeast"/>
        <w:ind w:firstLine="422"/>
        <w:jc w:val="left"/>
        <w:rPr>
          <w:rFonts w:ascii="华文仿宋" w:hAnsi="华文仿宋" w:eastAsia="华文仿宋" w:cs="宋体"/>
          <w:b/>
          <w:bCs/>
          <w:color w:val="000000"/>
          <w:kern w:val="0"/>
          <w:sz w:val="24"/>
        </w:rPr>
      </w:pPr>
      <w:r>
        <w:rPr>
          <w:rFonts w:hint="eastAsia" w:ascii="华文仿宋" w:hAnsi="华文仿宋" w:eastAsia="华文仿宋" w:cs="宋体"/>
          <w:b/>
          <w:bCs/>
          <w:color w:val="000000"/>
          <w:kern w:val="0"/>
          <w:sz w:val="24"/>
        </w:rPr>
        <w:t>二、各环节应提交审查、上传研究生管理系统或打印材料</w:t>
      </w:r>
    </w:p>
    <w:p>
      <w:pPr>
        <w:widowControl/>
        <w:spacing w:line="400" w:lineRule="atLeast"/>
        <w:ind w:firstLine="422"/>
        <w:jc w:val="left"/>
        <w:rPr>
          <w:rFonts w:ascii="华文仿宋" w:hAnsi="华文仿宋" w:eastAsia="华文仿宋" w:cs="宋体"/>
          <w:bCs/>
          <w:color w:val="000000"/>
          <w:kern w:val="0"/>
          <w:sz w:val="24"/>
        </w:rPr>
      </w:pPr>
      <w:r>
        <w:rPr>
          <w:rFonts w:ascii="华文仿宋" w:hAnsi="华文仿宋" w:eastAsia="华文仿宋" w:cs="宋体"/>
          <w:bCs/>
          <w:color w:val="000000"/>
          <w:kern w:val="0"/>
          <w:sz w:val="24"/>
        </w:rPr>
        <w:t>1</w:t>
      </w:r>
      <w:r>
        <w:rPr>
          <w:rFonts w:hint="eastAsia" w:ascii="华文仿宋" w:hAnsi="华文仿宋" w:eastAsia="华文仿宋" w:cs="宋体"/>
          <w:bCs/>
          <w:color w:val="000000"/>
          <w:kern w:val="0"/>
          <w:sz w:val="24"/>
        </w:rPr>
        <w:t>、资格审查</w:t>
      </w:r>
    </w:p>
    <w:p>
      <w:pPr>
        <w:widowControl/>
        <w:spacing w:line="400" w:lineRule="atLeast"/>
        <w:ind w:firstLine="422"/>
        <w:jc w:val="left"/>
        <w:rPr>
          <w:rFonts w:ascii="华文仿宋" w:hAnsi="华文仿宋" w:eastAsia="华文仿宋" w:cs="宋体"/>
          <w:bCs/>
          <w:color w:val="000000"/>
          <w:kern w:val="0"/>
          <w:sz w:val="24"/>
        </w:rPr>
      </w:pPr>
      <w:r>
        <w:rPr>
          <w:rFonts w:hint="eastAsia" w:ascii="华文仿宋" w:hAnsi="华文仿宋" w:eastAsia="华文仿宋" w:cs="宋体"/>
          <w:bCs/>
          <w:color w:val="000000"/>
          <w:kern w:val="0"/>
          <w:sz w:val="24"/>
        </w:rPr>
        <w:t>⑴成绩单</w:t>
      </w:r>
      <w:r>
        <w:rPr>
          <w:rFonts w:ascii="华文仿宋" w:hAnsi="华文仿宋" w:eastAsia="华文仿宋" w:cs="宋体"/>
          <w:bCs/>
          <w:color w:val="000000"/>
          <w:kern w:val="0"/>
          <w:sz w:val="24"/>
        </w:rPr>
        <w:t>2</w:t>
      </w:r>
      <w:r>
        <w:rPr>
          <w:rFonts w:hint="eastAsia" w:ascii="华文仿宋" w:hAnsi="华文仿宋" w:eastAsia="华文仿宋" w:cs="宋体"/>
          <w:bCs/>
          <w:color w:val="000000"/>
          <w:kern w:val="0"/>
          <w:sz w:val="24"/>
        </w:rPr>
        <w:t>份（在学院领取）；</w:t>
      </w:r>
    </w:p>
    <w:p>
      <w:pPr>
        <w:widowControl/>
        <w:spacing w:line="400" w:lineRule="atLeast"/>
        <w:ind w:firstLine="422"/>
        <w:jc w:val="left"/>
        <w:rPr>
          <w:rFonts w:ascii="华文仿宋" w:hAnsi="华文仿宋" w:eastAsia="华文仿宋" w:cs="宋体"/>
          <w:bCs/>
          <w:color w:val="000000"/>
          <w:kern w:val="0"/>
          <w:sz w:val="24"/>
        </w:rPr>
      </w:pPr>
      <w:r>
        <w:rPr>
          <w:rFonts w:hint="eastAsia" w:ascii="华文仿宋" w:hAnsi="华文仿宋" w:eastAsia="华文仿宋" w:cs="宋体"/>
          <w:bCs/>
          <w:color w:val="000000"/>
          <w:kern w:val="0"/>
          <w:sz w:val="24"/>
        </w:rPr>
        <w:t>⑵学籍卡</w:t>
      </w:r>
      <w:r>
        <w:rPr>
          <w:rFonts w:ascii="华文仿宋" w:hAnsi="华文仿宋" w:eastAsia="华文仿宋" w:cs="宋体"/>
          <w:bCs/>
          <w:color w:val="000000"/>
          <w:kern w:val="0"/>
          <w:sz w:val="24"/>
        </w:rPr>
        <w:t>2</w:t>
      </w:r>
      <w:r>
        <w:rPr>
          <w:rFonts w:hint="eastAsia" w:ascii="华文仿宋" w:hAnsi="华文仿宋" w:eastAsia="华文仿宋" w:cs="宋体"/>
          <w:bCs/>
          <w:color w:val="000000"/>
          <w:kern w:val="0"/>
          <w:sz w:val="24"/>
        </w:rPr>
        <w:t>份（在学院领取）；</w:t>
      </w:r>
    </w:p>
    <w:p>
      <w:pPr>
        <w:widowControl/>
        <w:spacing w:line="400" w:lineRule="atLeast"/>
        <w:ind w:firstLine="422"/>
        <w:jc w:val="left"/>
        <w:rPr>
          <w:rFonts w:ascii="华文仿宋" w:hAnsi="华文仿宋" w:eastAsia="华文仿宋" w:cs="宋体"/>
          <w:bCs/>
          <w:color w:val="000000"/>
          <w:kern w:val="0"/>
          <w:sz w:val="24"/>
        </w:rPr>
      </w:pPr>
      <w:r>
        <w:rPr>
          <w:rFonts w:hint="eastAsia" w:ascii="华文仿宋" w:hAnsi="华文仿宋" w:eastAsia="华文仿宋" w:cs="宋体"/>
          <w:bCs/>
          <w:color w:val="000000"/>
          <w:kern w:val="0"/>
          <w:sz w:val="24"/>
        </w:rPr>
        <w:t>⑶导师定稿的开题报告纸质版</w:t>
      </w:r>
      <w:r>
        <w:rPr>
          <w:rFonts w:ascii="华文仿宋" w:hAnsi="华文仿宋" w:eastAsia="华文仿宋" w:cs="宋体"/>
          <w:bCs/>
          <w:color w:val="000000"/>
          <w:kern w:val="0"/>
          <w:sz w:val="24"/>
        </w:rPr>
        <w:t>1</w:t>
      </w:r>
      <w:r>
        <w:rPr>
          <w:rFonts w:hint="eastAsia" w:ascii="华文仿宋" w:hAnsi="华文仿宋" w:eastAsia="华文仿宋" w:cs="宋体"/>
          <w:bCs/>
          <w:color w:val="000000"/>
          <w:kern w:val="0"/>
          <w:sz w:val="24"/>
        </w:rPr>
        <w:t>份（电子版上传研究生管理系统）；</w:t>
      </w:r>
    </w:p>
    <w:p>
      <w:pPr>
        <w:widowControl/>
        <w:spacing w:line="400" w:lineRule="atLeast"/>
        <w:ind w:firstLine="422"/>
        <w:jc w:val="left"/>
        <w:rPr>
          <w:rFonts w:ascii="华文仿宋" w:hAnsi="华文仿宋" w:eastAsia="华文仿宋" w:cs="宋体"/>
          <w:bCs/>
          <w:color w:val="000000"/>
          <w:kern w:val="0"/>
          <w:sz w:val="24"/>
        </w:rPr>
      </w:pPr>
      <w:r>
        <w:rPr>
          <w:rFonts w:hint="eastAsia" w:ascii="华文仿宋" w:hAnsi="华文仿宋" w:eastAsia="华文仿宋" w:cs="宋体"/>
          <w:bCs/>
          <w:color w:val="000000"/>
          <w:kern w:val="0"/>
          <w:sz w:val="24"/>
        </w:rPr>
        <w:t>⑷规范排版的定稿论文电子版</w:t>
      </w:r>
      <w:r>
        <w:rPr>
          <w:rFonts w:ascii="华文仿宋" w:hAnsi="华文仿宋" w:eastAsia="华文仿宋" w:cs="宋体"/>
          <w:bCs/>
          <w:color w:val="000000"/>
          <w:kern w:val="0"/>
          <w:sz w:val="24"/>
        </w:rPr>
        <w:t>1</w:t>
      </w:r>
      <w:r>
        <w:rPr>
          <w:rFonts w:hint="eastAsia" w:ascii="华文仿宋" w:hAnsi="华文仿宋" w:eastAsia="华文仿宋" w:cs="宋体"/>
          <w:bCs/>
          <w:color w:val="000000"/>
          <w:kern w:val="0"/>
          <w:sz w:val="24"/>
        </w:rPr>
        <w:t>份；</w:t>
      </w:r>
    </w:p>
    <w:p>
      <w:pPr>
        <w:widowControl/>
        <w:spacing w:line="400" w:lineRule="atLeast"/>
        <w:ind w:firstLine="422"/>
        <w:jc w:val="left"/>
        <w:rPr>
          <w:rFonts w:ascii="华文仿宋" w:hAnsi="华文仿宋" w:eastAsia="华文仿宋" w:cs="宋体"/>
          <w:bCs/>
          <w:color w:val="000000"/>
          <w:kern w:val="0"/>
          <w:sz w:val="24"/>
        </w:rPr>
      </w:pPr>
      <w:r>
        <w:rPr>
          <w:rFonts w:hint="eastAsia" w:ascii="华文仿宋" w:hAnsi="华文仿宋" w:eastAsia="华文仿宋" w:cs="宋体"/>
          <w:bCs/>
          <w:color w:val="000000"/>
          <w:kern w:val="0"/>
          <w:sz w:val="24"/>
        </w:rPr>
        <w:t>⑸学生对论文的自我学术评价纸质版</w:t>
      </w:r>
      <w:r>
        <w:rPr>
          <w:rFonts w:ascii="华文仿宋" w:hAnsi="华文仿宋" w:eastAsia="华文仿宋" w:cs="宋体"/>
          <w:bCs/>
          <w:color w:val="000000"/>
          <w:kern w:val="0"/>
          <w:sz w:val="24"/>
        </w:rPr>
        <w:t>1</w:t>
      </w:r>
      <w:r>
        <w:rPr>
          <w:rFonts w:hint="eastAsia" w:ascii="华文仿宋" w:hAnsi="华文仿宋" w:eastAsia="华文仿宋" w:cs="宋体"/>
          <w:bCs/>
          <w:color w:val="000000"/>
          <w:kern w:val="0"/>
          <w:sz w:val="24"/>
        </w:rPr>
        <w:t>份（模板见答辩材料包）；</w:t>
      </w:r>
    </w:p>
    <w:p>
      <w:pPr>
        <w:widowControl/>
        <w:spacing w:line="400" w:lineRule="atLeast"/>
        <w:ind w:firstLine="422"/>
        <w:jc w:val="left"/>
        <w:rPr>
          <w:rFonts w:ascii="华文仿宋" w:hAnsi="华文仿宋" w:eastAsia="华文仿宋" w:cs="宋体"/>
          <w:bCs/>
          <w:color w:val="000000"/>
          <w:kern w:val="0"/>
          <w:sz w:val="24"/>
        </w:rPr>
      </w:pPr>
      <w:r>
        <w:rPr>
          <w:rFonts w:hint="eastAsia" w:ascii="华文仿宋" w:hAnsi="华文仿宋" w:eastAsia="华文仿宋" w:cs="宋体"/>
          <w:bCs/>
          <w:color w:val="000000"/>
          <w:kern w:val="0"/>
          <w:sz w:val="24"/>
        </w:rPr>
        <w:t>⑹缴费发票。</w:t>
      </w:r>
    </w:p>
    <w:p>
      <w:pPr>
        <w:widowControl/>
        <w:spacing w:line="400" w:lineRule="atLeast"/>
        <w:ind w:firstLine="480" w:firstLineChars="200"/>
        <w:jc w:val="left"/>
        <w:rPr>
          <w:rFonts w:ascii="华文仿宋" w:hAnsi="华文仿宋" w:eastAsia="华文仿宋" w:cs="宋体"/>
          <w:bCs/>
          <w:color w:val="000000"/>
          <w:kern w:val="0"/>
          <w:sz w:val="24"/>
        </w:rPr>
      </w:pPr>
      <w:r>
        <w:rPr>
          <w:rFonts w:ascii="华文仿宋" w:hAnsi="华文仿宋" w:eastAsia="华文仿宋" w:cs="宋体"/>
          <w:bCs/>
          <w:color w:val="000000"/>
          <w:kern w:val="0"/>
          <w:sz w:val="24"/>
        </w:rPr>
        <w:t>2</w:t>
      </w:r>
      <w:r>
        <w:rPr>
          <w:rFonts w:hint="eastAsia" w:ascii="华文仿宋" w:hAnsi="华文仿宋" w:eastAsia="华文仿宋" w:cs="宋体"/>
          <w:bCs/>
          <w:color w:val="000000"/>
          <w:kern w:val="0"/>
          <w:sz w:val="24"/>
        </w:rPr>
        <w:t>、论文检测</w:t>
      </w:r>
    </w:p>
    <w:p>
      <w:pPr>
        <w:widowControl/>
        <w:spacing w:line="400" w:lineRule="atLeast"/>
        <w:ind w:firstLine="360" w:firstLineChars="150"/>
        <w:jc w:val="left"/>
        <w:rPr>
          <w:rFonts w:ascii="华文仿宋" w:hAnsi="华文仿宋" w:eastAsia="华文仿宋" w:cs="宋体"/>
          <w:bCs/>
          <w:color w:val="000000"/>
          <w:kern w:val="0"/>
          <w:sz w:val="24"/>
        </w:rPr>
      </w:pPr>
      <w:r>
        <w:rPr>
          <w:rFonts w:hint="eastAsia" w:ascii="华文仿宋" w:hAnsi="华文仿宋" w:eastAsia="华文仿宋" w:cs="宋体"/>
          <w:bCs/>
          <w:color w:val="000000"/>
          <w:kern w:val="0"/>
          <w:sz w:val="24"/>
        </w:rPr>
        <w:t>⑴规范排版的定稿论文电子版1份（排版规范及提交要求见答辩材料包）；</w:t>
      </w:r>
    </w:p>
    <w:p>
      <w:pPr>
        <w:widowControl/>
        <w:spacing w:line="400" w:lineRule="atLeast"/>
        <w:ind w:firstLine="360" w:firstLineChars="150"/>
        <w:jc w:val="left"/>
        <w:rPr>
          <w:rFonts w:ascii="华文仿宋" w:hAnsi="华文仿宋" w:eastAsia="华文仿宋" w:cs="宋体"/>
          <w:bCs/>
          <w:color w:val="000000"/>
          <w:kern w:val="0"/>
          <w:sz w:val="24"/>
        </w:rPr>
      </w:pPr>
      <w:r>
        <w:rPr>
          <w:rFonts w:hint="eastAsia" w:ascii="华文仿宋" w:hAnsi="华文仿宋" w:eastAsia="华文仿宋" w:cs="宋体"/>
          <w:bCs/>
          <w:color w:val="000000"/>
          <w:kern w:val="0"/>
          <w:sz w:val="24"/>
        </w:rPr>
        <w:t>⑵检测报告单1份（检测通过后在学院领取）；</w:t>
      </w:r>
    </w:p>
    <w:p>
      <w:pPr>
        <w:widowControl/>
        <w:spacing w:line="400" w:lineRule="atLeast"/>
        <w:ind w:firstLine="360" w:firstLineChars="150"/>
        <w:jc w:val="left"/>
        <w:rPr>
          <w:rFonts w:ascii="华文仿宋" w:hAnsi="华文仿宋" w:eastAsia="华文仿宋" w:cs="宋体"/>
          <w:bCs/>
          <w:color w:val="000000"/>
          <w:kern w:val="0"/>
          <w:sz w:val="24"/>
        </w:rPr>
      </w:pPr>
      <w:r>
        <w:rPr>
          <w:rFonts w:hint="eastAsia" w:ascii="华文仿宋" w:hAnsi="华文仿宋" w:eastAsia="华文仿宋" w:cs="宋体"/>
          <w:bCs/>
          <w:color w:val="000000"/>
          <w:kern w:val="0"/>
          <w:sz w:val="24"/>
        </w:rPr>
        <w:t>⑶学位论文学术不端行为检测结果说明及承诺书1份（模板见答辩材料包）；</w:t>
      </w:r>
    </w:p>
    <w:p>
      <w:pPr>
        <w:widowControl/>
        <w:spacing w:line="400" w:lineRule="atLeast"/>
        <w:ind w:firstLine="360" w:firstLineChars="150"/>
        <w:jc w:val="left"/>
        <w:rPr>
          <w:rFonts w:ascii="华文仿宋" w:hAnsi="华文仿宋" w:eastAsia="华文仿宋" w:cs="宋体"/>
          <w:bCs/>
          <w:color w:val="000000"/>
          <w:kern w:val="0"/>
          <w:sz w:val="24"/>
        </w:rPr>
      </w:pPr>
      <w:r>
        <w:rPr>
          <w:rFonts w:ascii="华文仿宋" w:hAnsi="华文仿宋" w:eastAsia="华文仿宋" w:cs="宋体"/>
          <w:bCs/>
          <w:color w:val="000000"/>
          <w:kern w:val="0"/>
          <w:sz w:val="24"/>
        </w:rPr>
        <w:t>3</w:t>
      </w:r>
      <w:r>
        <w:rPr>
          <w:rFonts w:hint="eastAsia" w:ascii="华文仿宋" w:hAnsi="华文仿宋" w:eastAsia="华文仿宋" w:cs="宋体"/>
          <w:bCs/>
          <w:color w:val="000000"/>
          <w:kern w:val="0"/>
          <w:sz w:val="24"/>
        </w:rPr>
        <w:t>、论文评审</w:t>
      </w:r>
    </w:p>
    <w:p>
      <w:pPr>
        <w:widowControl/>
        <w:spacing w:line="400" w:lineRule="atLeast"/>
        <w:ind w:firstLine="360" w:firstLineChars="150"/>
        <w:jc w:val="left"/>
        <w:rPr>
          <w:rFonts w:ascii="华文仿宋" w:hAnsi="华文仿宋" w:eastAsia="华文仿宋" w:cs="宋体"/>
          <w:bCs/>
          <w:color w:val="000000"/>
          <w:kern w:val="0"/>
          <w:sz w:val="24"/>
        </w:rPr>
      </w:pPr>
      <w:r>
        <w:rPr>
          <w:rFonts w:hint="eastAsia" w:ascii="华文仿宋" w:hAnsi="华文仿宋" w:eastAsia="华文仿宋" w:cs="宋体"/>
          <w:bCs/>
          <w:color w:val="000000"/>
          <w:kern w:val="0"/>
          <w:sz w:val="24"/>
        </w:rPr>
        <w:t>⑴检测版同版论文</w:t>
      </w:r>
      <w:r>
        <w:rPr>
          <w:rFonts w:ascii="华文仿宋" w:hAnsi="华文仿宋" w:eastAsia="华文仿宋" w:cs="宋体"/>
          <w:bCs/>
          <w:color w:val="000000"/>
          <w:kern w:val="0"/>
          <w:sz w:val="24"/>
        </w:rPr>
        <w:t>2</w:t>
      </w:r>
      <w:r>
        <w:rPr>
          <w:rFonts w:hint="eastAsia" w:ascii="华文仿宋" w:hAnsi="华文仿宋" w:eastAsia="华文仿宋" w:cs="宋体"/>
          <w:bCs/>
          <w:color w:val="000000"/>
          <w:kern w:val="0"/>
          <w:sz w:val="24"/>
        </w:rPr>
        <w:t>份（纸质）；</w:t>
      </w:r>
    </w:p>
    <w:p>
      <w:pPr>
        <w:widowControl/>
        <w:spacing w:line="400" w:lineRule="atLeast"/>
        <w:ind w:firstLine="360" w:firstLineChars="150"/>
        <w:jc w:val="left"/>
        <w:rPr>
          <w:rFonts w:ascii="华文仿宋" w:hAnsi="华文仿宋" w:eastAsia="华文仿宋" w:cs="宋体"/>
          <w:bCs/>
          <w:color w:val="000000"/>
          <w:kern w:val="0"/>
          <w:sz w:val="24"/>
        </w:rPr>
      </w:pPr>
      <w:r>
        <w:rPr>
          <w:rFonts w:hint="eastAsia" w:ascii="华文仿宋" w:hAnsi="华文仿宋" w:eastAsia="华文仿宋" w:cs="宋体"/>
          <w:bCs/>
          <w:color w:val="000000"/>
          <w:kern w:val="0"/>
          <w:sz w:val="24"/>
        </w:rPr>
        <w:t>⑵专家对论文的学术评价表2份（模板见答辩材料包）；</w:t>
      </w:r>
    </w:p>
    <w:p>
      <w:pPr>
        <w:widowControl/>
        <w:spacing w:line="400" w:lineRule="atLeast"/>
        <w:ind w:firstLine="360" w:firstLineChars="150"/>
        <w:jc w:val="left"/>
        <w:rPr>
          <w:rFonts w:ascii="华文仿宋" w:hAnsi="华文仿宋" w:eastAsia="华文仿宋" w:cs="宋体"/>
          <w:bCs/>
          <w:color w:val="000000"/>
          <w:kern w:val="0"/>
          <w:sz w:val="24"/>
        </w:rPr>
      </w:pPr>
      <w:r>
        <w:rPr>
          <w:rFonts w:ascii="华文仿宋" w:hAnsi="华文仿宋" w:eastAsia="华文仿宋" w:cs="宋体"/>
          <w:bCs/>
          <w:color w:val="000000"/>
          <w:kern w:val="0"/>
          <w:sz w:val="24"/>
        </w:rPr>
        <w:t>4</w:t>
      </w:r>
      <w:r>
        <w:rPr>
          <w:rFonts w:hint="eastAsia" w:ascii="华文仿宋" w:hAnsi="华文仿宋" w:eastAsia="华文仿宋" w:cs="宋体"/>
          <w:bCs/>
          <w:color w:val="000000"/>
          <w:kern w:val="0"/>
          <w:sz w:val="24"/>
        </w:rPr>
        <w:t>、发布答辩公告：无</w:t>
      </w:r>
    </w:p>
    <w:p>
      <w:pPr>
        <w:widowControl/>
        <w:spacing w:line="400" w:lineRule="atLeast"/>
        <w:ind w:firstLine="360" w:firstLineChars="150"/>
        <w:jc w:val="left"/>
        <w:rPr>
          <w:rFonts w:ascii="华文仿宋" w:hAnsi="华文仿宋" w:eastAsia="华文仿宋" w:cs="宋体"/>
          <w:bCs/>
          <w:color w:val="000000"/>
          <w:kern w:val="0"/>
          <w:sz w:val="24"/>
        </w:rPr>
      </w:pPr>
      <w:r>
        <w:rPr>
          <w:rFonts w:ascii="华文仿宋" w:hAnsi="华文仿宋" w:eastAsia="华文仿宋" w:cs="宋体"/>
          <w:bCs/>
          <w:color w:val="000000"/>
          <w:kern w:val="0"/>
          <w:sz w:val="24"/>
        </w:rPr>
        <w:t>5</w:t>
      </w:r>
      <w:r>
        <w:rPr>
          <w:rFonts w:hint="eastAsia" w:ascii="华文仿宋" w:hAnsi="华文仿宋" w:eastAsia="华文仿宋" w:cs="宋体"/>
          <w:bCs/>
          <w:color w:val="000000"/>
          <w:kern w:val="0"/>
          <w:sz w:val="24"/>
        </w:rPr>
        <w:t>、答辩</w:t>
      </w:r>
    </w:p>
    <w:p>
      <w:pPr>
        <w:widowControl/>
        <w:spacing w:line="400" w:lineRule="atLeast"/>
        <w:ind w:firstLine="360" w:firstLineChars="150"/>
        <w:jc w:val="left"/>
        <w:rPr>
          <w:rFonts w:ascii="华文仿宋" w:hAnsi="华文仿宋" w:eastAsia="华文仿宋" w:cs="宋体"/>
          <w:bCs/>
          <w:color w:val="000000"/>
          <w:kern w:val="0"/>
          <w:sz w:val="24"/>
        </w:rPr>
      </w:pPr>
      <w:r>
        <w:rPr>
          <w:rFonts w:hint="eastAsia" w:ascii="华文仿宋" w:hAnsi="华文仿宋" w:eastAsia="华文仿宋" w:cs="宋体"/>
          <w:bCs/>
          <w:color w:val="000000"/>
          <w:kern w:val="0"/>
          <w:sz w:val="24"/>
        </w:rPr>
        <w:t>⑴论文答辩评价标准及打分表</w:t>
      </w:r>
      <w:r>
        <w:rPr>
          <w:rFonts w:ascii="华文仿宋" w:hAnsi="华文仿宋" w:eastAsia="华文仿宋" w:cs="宋体"/>
          <w:bCs/>
          <w:color w:val="000000"/>
          <w:kern w:val="0"/>
          <w:sz w:val="24"/>
        </w:rPr>
        <w:t>5</w:t>
      </w:r>
      <w:r>
        <w:rPr>
          <w:rFonts w:hint="eastAsia" w:ascii="华文仿宋" w:hAnsi="华文仿宋" w:eastAsia="华文仿宋" w:cs="宋体"/>
          <w:bCs/>
          <w:color w:val="000000"/>
          <w:kern w:val="0"/>
          <w:sz w:val="24"/>
        </w:rPr>
        <w:t>份（见答辩材料包）；</w:t>
      </w:r>
    </w:p>
    <w:p>
      <w:pPr>
        <w:widowControl/>
        <w:spacing w:line="400" w:lineRule="atLeast"/>
        <w:ind w:firstLine="360" w:firstLineChars="150"/>
        <w:jc w:val="left"/>
        <w:rPr>
          <w:rFonts w:ascii="华文仿宋" w:hAnsi="华文仿宋" w:eastAsia="华文仿宋" w:cs="宋体"/>
          <w:bCs/>
          <w:color w:val="000000"/>
          <w:kern w:val="0"/>
          <w:sz w:val="24"/>
        </w:rPr>
      </w:pPr>
      <w:r>
        <w:rPr>
          <w:rFonts w:hint="eastAsia" w:ascii="华文仿宋" w:hAnsi="华文仿宋" w:eastAsia="华文仿宋" w:cs="宋体"/>
          <w:bCs/>
          <w:color w:val="000000"/>
          <w:kern w:val="0"/>
          <w:sz w:val="24"/>
        </w:rPr>
        <w:t>⑵论文答辩表决票</w:t>
      </w:r>
      <w:r>
        <w:rPr>
          <w:rFonts w:ascii="华文仿宋" w:hAnsi="华文仿宋" w:eastAsia="华文仿宋" w:cs="宋体"/>
          <w:bCs/>
          <w:color w:val="000000"/>
          <w:kern w:val="0"/>
          <w:sz w:val="24"/>
        </w:rPr>
        <w:t>5</w:t>
      </w:r>
      <w:r>
        <w:rPr>
          <w:rFonts w:hint="eastAsia" w:ascii="华文仿宋" w:hAnsi="华文仿宋" w:eastAsia="华文仿宋" w:cs="宋体"/>
          <w:bCs/>
          <w:color w:val="000000"/>
          <w:kern w:val="0"/>
          <w:sz w:val="24"/>
        </w:rPr>
        <w:t>份（见答辩材料包）；</w:t>
      </w:r>
    </w:p>
    <w:p>
      <w:pPr>
        <w:widowControl/>
        <w:spacing w:line="400" w:lineRule="atLeast"/>
        <w:ind w:firstLine="360" w:firstLineChars="150"/>
        <w:jc w:val="left"/>
        <w:rPr>
          <w:rFonts w:ascii="华文仿宋" w:hAnsi="华文仿宋" w:eastAsia="华文仿宋" w:cs="宋体"/>
          <w:bCs/>
          <w:color w:val="000000"/>
          <w:kern w:val="0"/>
          <w:sz w:val="24"/>
        </w:rPr>
      </w:pPr>
      <w:r>
        <w:rPr>
          <w:rFonts w:hint="eastAsia" w:ascii="华文仿宋" w:hAnsi="华文仿宋" w:eastAsia="华文仿宋" w:cs="宋体"/>
          <w:bCs/>
          <w:color w:val="000000"/>
          <w:kern w:val="0"/>
          <w:sz w:val="24"/>
        </w:rPr>
        <w:t>⑶论文答辩汇总单</w:t>
      </w:r>
      <w:r>
        <w:rPr>
          <w:rFonts w:ascii="华文仿宋" w:hAnsi="华文仿宋" w:eastAsia="华文仿宋" w:cs="宋体"/>
          <w:bCs/>
          <w:color w:val="000000"/>
          <w:kern w:val="0"/>
          <w:sz w:val="24"/>
        </w:rPr>
        <w:t>1</w:t>
      </w:r>
      <w:r>
        <w:rPr>
          <w:rFonts w:hint="eastAsia" w:ascii="华文仿宋" w:hAnsi="华文仿宋" w:eastAsia="华文仿宋" w:cs="宋体"/>
          <w:bCs/>
          <w:color w:val="000000"/>
          <w:kern w:val="0"/>
          <w:sz w:val="24"/>
        </w:rPr>
        <w:t>份（见答辩材料包）；</w:t>
      </w:r>
    </w:p>
    <w:p>
      <w:pPr>
        <w:widowControl/>
        <w:spacing w:line="400" w:lineRule="atLeast"/>
        <w:ind w:firstLine="360" w:firstLineChars="150"/>
        <w:jc w:val="left"/>
        <w:rPr>
          <w:rFonts w:ascii="华文仿宋" w:hAnsi="华文仿宋" w:eastAsia="华文仿宋" w:cs="宋体"/>
          <w:bCs/>
          <w:color w:val="000000"/>
          <w:kern w:val="0"/>
          <w:sz w:val="24"/>
        </w:rPr>
      </w:pPr>
      <w:r>
        <w:rPr>
          <w:rFonts w:hint="eastAsia" w:ascii="华文仿宋" w:hAnsi="华文仿宋" w:eastAsia="华文仿宋" w:cs="宋体"/>
          <w:bCs/>
          <w:color w:val="000000"/>
          <w:kern w:val="0"/>
          <w:sz w:val="24"/>
        </w:rPr>
        <w:t>⑷论文答辩记录纸</w:t>
      </w:r>
      <w:r>
        <w:rPr>
          <w:rFonts w:ascii="华文仿宋" w:hAnsi="华文仿宋" w:eastAsia="华文仿宋" w:cs="宋体"/>
          <w:bCs/>
          <w:color w:val="000000"/>
          <w:kern w:val="0"/>
          <w:sz w:val="24"/>
        </w:rPr>
        <w:t>1</w:t>
      </w:r>
      <w:r>
        <w:rPr>
          <w:rFonts w:hint="eastAsia" w:ascii="华文仿宋" w:hAnsi="华文仿宋" w:eastAsia="华文仿宋" w:cs="宋体"/>
          <w:bCs/>
          <w:color w:val="000000"/>
          <w:kern w:val="0"/>
          <w:sz w:val="24"/>
        </w:rPr>
        <w:t>份（在学院领取）；</w:t>
      </w:r>
    </w:p>
    <w:p>
      <w:pPr>
        <w:widowControl/>
        <w:spacing w:line="400" w:lineRule="atLeast"/>
        <w:ind w:firstLine="360" w:firstLineChars="150"/>
        <w:jc w:val="left"/>
        <w:rPr>
          <w:rFonts w:ascii="华文仿宋" w:hAnsi="华文仿宋" w:eastAsia="华文仿宋" w:cs="宋体"/>
          <w:bCs/>
          <w:color w:val="000000"/>
          <w:kern w:val="0"/>
          <w:sz w:val="24"/>
        </w:rPr>
      </w:pPr>
      <w:r>
        <w:rPr>
          <w:rFonts w:ascii="华文仿宋" w:hAnsi="华文仿宋" w:eastAsia="华文仿宋" w:cs="宋体"/>
          <w:bCs/>
          <w:color w:val="000000"/>
          <w:kern w:val="0"/>
          <w:sz w:val="24"/>
        </w:rPr>
        <w:t>6</w:t>
      </w:r>
      <w:r>
        <w:rPr>
          <w:rFonts w:hint="eastAsia" w:ascii="华文仿宋" w:hAnsi="华文仿宋" w:eastAsia="华文仿宋" w:cs="宋体"/>
          <w:bCs/>
          <w:color w:val="000000"/>
          <w:kern w:val="0"/>
          <w:sz w:val="24"/>
        </w:rPr>
        <w:t>、学位信息采集：</w:t>
      </w:r>
    </w:p>
    <w:p>
      <w:pPr>
        <w:widowControl/>
        <w:spacing w:line="400" w:lineRule="atLeast"/>
        <w:ind w:firstLine="360" w:firstLineChars="150"/>
        <w:jc w:val="left"/>
        <w:rPr>
          <w:rFonts w:ascii="华文仿宋" w:hAnsi="华文仿宋" w:eastAsia="华文仿宋" w:cs="宋体"/>
          <w:bCs/>
          <w:color w:val="000000"/>
          <w:kern w:val="0"/>
          <w:sz w:val="24"/>
        </w:rPr>
      </w:pPr>
      <w:r>
        <w:rPr>
          <w:rFonts w:hint="eastAsia" w:ascii="华文仿宋" w:hAnsi="华文仿宋" w:eastAsia="华文仿宋" w:cs="宋体"/>
          <w:bCs/>
          <w:color w:val="000000"/>
          <w:kern w:val="0"/>
          <w:sz w:val="24"/>
        </w:rPr>
        <w:t>⑴学位授予信息表纸质版</w:t>
      </w:r>
      <w:r>
        <w:rPr>
          <w:rFonts w:ascii="华文仿宋" w:hAnsi="华文仿宋" w:eastAsia="华文仿宋" w:cs="宋体"/>
          <w:bCs/>
          <w:color w:val="000000"/>
          <w:kern w:val="0"/>
          <w:sz w:val="24"/>
        </w:rPr>
        <w:t>1</w:t>
      </w:r>
      <w:r>
        <w:rPr>
          <w:rFonts w:hint="eastAsia" w:ascii="华文仿宋" w:hAnsi="华文仿宋" w:eastAsia="华文仿宋" w:cs="宋体"/>
          <w:bCs/>
          <w:color w:val="000000"/>
          <w:kern w:val="0"/>
          <w:sz w:val="24"/>
        </w:rPr>
        <w:t>份；</w:t>
      </w:r>
    </w:p>
    <w:p>
      <w:pPr>
        <w:widowControl/>
        <w:spacing w:line="400" w:lineRule="atLeast"/>
        <w:ind w:firstLine="360" w:firstLineChars="150"/>
        <w:jc w:val="left"/>
        <w:rPr>
          <w:rFonts w:ascii="华文仿宋" w:hAnsi="华文仿宋" w:eastAsia="华文仿宋" w:cs="宋体"/>
          <w:bCs/>
          <w:color w:val="000000"/>
          <w:kern w:val="0"/>
          <w:sz w:val="24"/>
        </w:rPr>
      </w:pPr>
      <w:r>
        <w:rPr>
          <w:rFonts w:hint="eastAsia" w:ascii="华文仿宋" w:hAnsi="华文仿宋" w:eastAsia="华文仿宋" w:cs="宋体"/>
          <w:bCs/>
          <w:color w:val="000000"/>
          <w:kern w:val="0"/>
          <w:sz w:val="24"/>
        </w:rPr>
        <w:t>⑵学位授予信息表电子版</w:t>
      </w:r>
      <w:r>
        <w:rPr>
          <w:rFonts w:ascii="华文仿宋" w:hAnsi="华文仿宋" w:eastAsia="华文仿宋" w:cs="宋体"/>
          <w:bCs/>
          <w:color w:val="000000"/>
          <w:kern w:val="0"/>
          <w:sz w:val="24"/>
        </w:rPr>
        <w:t>1</w:t>
      </w:r>
      <w:r>
        <w:rPr>
          <w:rFonts w:hint="eastAsia" w:ascii="华文仿宋" w:hAnsi="华文仿宋" w:eastAsia="华文仿宋" w:cs="宋体"/>
          <w:bCs/>
          <w:color w:val="000000"/>
          <w:kern w:val="0"/>
          <w:sz w:val="24"/>
        </w:rPr>
        <w:t>份；</w:t>
      </w:r>
    </w:p>
    <w:p>
      <w:pPr>
        <w:widowControl/>
        <w:spacing w:line="400" w:lineRule="atLeast"/>
        <w:ind w:firstLine="360" w:firstLineChars="150"/>
        <w:jc w:val="left"/>
        <w:rPr>
          <w:rFonts w:ascii="华文仿宋" w:hAnsi="华文仿宋" w:eastAsia="华文仿宋" w:cs="宋体"/>
          <w:bCs/>
          <w:color w:val="000000"/>
          <w:kern w:val="0"/>
          <w:sz w:val="24"/>
        </w:rPr>
      </w:pPr>
      <w:r>
        <w:rPr>
          <w:rFonts w:ascii="华文仿宋" w:hAnsi="华文仿宋" w:eastAsia="华文仿宋" w:cs="宋体"/>
          <w:bCs/>
          <w:color w:val="000000"/>
          <w:kern w:val="0"/>
          <w:sz w:val="24"/>
        </w:rPr>
        <w:t>7</w:t>
      </w:r>
      <w:r>
        <w:rPr>
          <w:rFonts w:hint="eastAsia" w:ascii="华文仿宋" w:hAnsi="华文仿宋" w:eastAsia="华文仿宋" w:cs="宋体"/>
          <w:bCs/>
          <w:color w:val="000000"/>
          <w:kern w:val="0"/>
          <w:sz w:val="24"/>
        </w:rPr>
        <w:t>、答辩后提交材料阶段：提交答辩过程中产生所有材料，详细见资料包中“在职硕士答辩后提交材料清单”</w:t>
      </w:r>
    </w:p>
    <w:p>
      <w:pPr>
        <w:widowControl/>
        <w:spacing w:line="400" w:lineRule="atLeast"/>
        <w:ind w:firstLine="360" w:firstLineChars="150"/>
        <w:jc w:val="left"/>
        <w:rPr>
          <w:rFonts w:ascii="华文仿宋" w:hAnsi="华文仿宋" w:eastAsia="华文仿宋" w:cs="宋体"/>
          <w:b/>
          <w:bCs/>
          <w:color w:val="000000"/>
          <w:kern w:val="0"/>
          <w:sz w:val="24"/>
        </w:rPr>
      </w:pPr>
      <w:r>
        <w:rPr>
          <w:rFonts w:hint="eastAsia" w:ascii="华文仿宋" w:hAnsi="华文仿宋" w:eastAsia="华文仿宋" w:cs="宋体"/>
          <w:b/>
          <w:bCs/>
          <w:color w:val="000000"/>
          <w:kern w:val="0"/>
          <w:sz w:val="24"/>
        </w:rPr>
        <w:t>三、答辩流程及操作说明</w:t>
      </w:r>
    </w:p>
    <w:p>
      <w:pPr>
        <w:widowControl/>
        <w:spacing w:line="400" w:lineRule="atLeast"/>
        <w:ind w:firstLine="422"/>
        <w:jc w:val="left"/>
        <w:rPr>
          <w:rFonts w:ascii="华文仿宋" w:hAnsi="华文仿宋" w:eastAsia="华文仿宋" w:cs="宋体"/>
          <w:bCs/>
          <w:color w:val="000000"/>
          <w:kern w:val="0"/>
          <w:sz w:val="24"/>
        </w:rPr>
      </w:pPr>
      <w:r>
        <w:rPr>
          <w:rFonts w:ascii="华文仿宋" w:hAnsi="华文仿宋" w:eastAsia="华文仿宋" w:cs="宋体"/>
          <w:bCs/>
          <w:color w:val="000000"/>
          <w:kern w:val="0"/>
          <w:sz w:val="24"/>
        </w:rPr>
        <w:t>1</w:t>
      </w:r>
      <w:r>
        <w:rPr>
          <w:rFonts w:hint="eastAsia" w:ascii="华文仿宋" w:hAnsi="华文仿宋" w:eastAsia="华文仿宋" w:cs="宋体"/>
          <w:bCs/>
          <w:color w:val="000000"/>
          <w:kern w:val="0"/>
          <w:sz w:val="24"/>
        </w:rPr>
        <w:t>、申请答辩：修业年限在</w:t>
      </w:r>
      <w:r>
        <w:rPr>
          <w:rFonts w:ascii="华文仿宋" w:hAnsi="华文仿宋" w:eastAsia="华文仿宋" w:cs="宋体"/>
          <w:bCs/>
          <w:color w:val="000000"/>
          <w:kern w:val="0"/>
          <w:sz w:val="24"/>
        </w:rPr>
        <w:t>3-5</w:t>
      </w:r>
      <w:r>
        <w:rPr>
          <w:rFonts w:hint="eastAsia" w:ascii="华文仿宋" w:hAnsi="华文仿宋" w:eastAsia="华文仿宋" w:cs="宋体"/>
          <w:bCs/>
          <w:color w:val="000000"/>
          <w:kern w:val="0"/>
          <w:sz w:val="24"/>
        </w:rPr>
        <w:t>年内，修完培养方案规定课程并成绩合格，学费缴清，论文定稿，登录</w:t>
      </w:r>
      <w:r>
        <w:rPr>
          <w:rFonts w:hint="eastAsia" w:ascii="华文仿宋" w:hAnsi="华文仿宋" w:eastAsia="华文仿宋" w:cs="宋体"/>
          <w:color w:val="000000"/>
          <w:kern w:val="0"/>
          <w:sz w:val="24"/>
        </w:rPr>
        <w:t>研究生管理系统”（</w:t>
      </w:r>
      <w:r>
        <w:fldChar w:fldCharType="begin"/>
      </w:r>
      <w:r>
        <w:instrText xml:space="preserve"> HYPERLINK "http://yjspy.nwafu.edu.cn/" </w:instrText>
      </w:r>
      <w:r>
        <w:fldChar w:fldCharType="separate"/>
      </w:r>
      <w:r>
        <w:rPr>
          <w:rStyle w:val="7"/>
          <w:rFonts w:ascii="华文仿宋" w:hAnsi="华文仿宋" w:eastAsia="华文仿宋" w:cs="宋体"/>
          <w:kern w:val="0"/>
          <w:sz w:val="24"/>
        </w:rPr>
        <w:t>http://yjspy.nwafu.edu.cn/</w:t>
      </w:r>
      <w:r>
        <w:rPr>
          <w:rStyle w:val="7"/>
          <w:rFonts w:ascii="华文仿宋" w:hAnsi="华文仿宋" w:eastAsia="华文仿宋" w:cs="宋体"/>
          <w:kern w:val="0"/>
          <w:sz w:val="24"/>
        </w:rPr>
        <w:fldChar w:fldCharType="end"/>
      </w:r>
      <w:r>
        <w:rPr>
          <w:rFonts w:hint="eastAsia" w:ascii="华文仿宋" w:hAnsi="华文仿宋" w:eastAsia="华文仿宋" w:cs="宋体"/>
          <w:color w:val="000000"/>
          <w:kern w:val="0"/>
          <w:sz w:val="24"/>
        </w:rPr>
        <w:t>）</w:t>
      </w:r>
      <w:r>
        <w:rPr>
          <w:rFonts w:hint="eastAsia" w:ascii="华文仿宋" w:hAnsi="华文仿宋" w:eastAsia="华文仿宋" w:cs="宋体"/>
          <w:bCs/>
          <w:color w:val="000000"/>
          <w:kern w:val="0"/>
          <w:sz w:val="24"/>
        </w:rPr>
        <w:t>提交学位论文答辩申请，同时请导师登录系统出具对论文的学术评语并审核通过；上传定稿开题报告，进入下一环节；</w:t>
      </w:r>
    </w:p>
    <w:p>
      <w:pPr>
        <w:widowControl/>
        <w:spacing w:line="400" w:lineRule="atLeast"/>
        <w:ind w:firstLine="422"/>
        <w:jc w:val="left"/>
        <w:rPr>
          <w:rFonts w:ascii="华文仿宋" w:hAnsi="华文仿宋" w:eastAsia="华文仿宋" w:cs="宋体"/>
          <w:bCs/>
          <w:color w:val="000000"/>
          <w:kern w:val="0"/>
          <w:sz w:val="24"/>
        </w:rPr>
      </w:pPr>
      <w:r>
        <w:rPr>
          <w:rFonts w:ascii="华文仿宋" w:hAnsi="华文仿宋" w:eastAsia="华文仿宋" w:cs="宋体"/>
          <w:bCs/>
          <w:color w:val="000000"/>
          <w:kern w:val="0"/>
          <w:sz w:val="24"/>
        </w:rPr>
        <w:t>2</w:t>
      </w:r>
      <w:r>
        <w:rPr>
          <w:rFonts w:hint="eastAsia" w:ascii="华文仿宋" w:hAnsi="华文仿宋" w:eastAsia="华文仿宋" w:cs="宋体"/>
          <w:bCs/>
          <w:color w:val="000000"/>
          <w:kern w:val="0"/>
          <w:sz w:val="24"/>
        </w:rPr>
        <w:t>、资格审查：学院在系统中对答辩申请人进行答辩资格审查，通过，进入下一环节；</w:t>
      </w:r>
    </w:p>
    <w:p>
      <w:pPr>
        <w:widowControl/>
        <w:spacing w:line="400" w:lineRule="atLeast"/>
        <w:ind w:firstLine="422"/>
        <w:jc w:val="left"/>
        <w:rPr>
          <w:rFonts w:ascii="华文仿宋" w:hAnsi="华文仿宋" w:eastAsia="华文仿宋" w:cs="宋体"/>
          <w:bCs/>
          <w:color w:val="000000"/>
          <w:kern w:val="0"/>
          <w:sz w:val="24"/>
        </w:rPr>
      </w:pPr>
      <w:r>
        <w:rPr>
          <w:rFonts w:ascii="华文仿宋" w:hAnsi="华文仿宋" w:eastAsia="华文仿宋" w:cs="宋体"/>
          <w:bCs/>
          <w:color w:val="000000"/>
          <w:kern w:val="0"/>
          <w:sz w:val="24"/>
        </w:rPr>
        <w:t>3</w:t>
      </w:r>
      <w:r>
        <w:rPr>
          <w:rFonts w:hint="eastAsia" w:ascii="华文仿宋" w:hAnsi="华文仿宋" w:eastAsia="华文仿宋" w:cs="宋体"/>
          <w:bCs/>
          <w:color w:val="000000"/>
          <w:kern w:val="0"/>
          <w:sz w:val="24"/>
        </w:rPr>
        <w:t>、论文检测：学院对定稿论文电子版进行复制比审核，总复制比低于</w:t>
      </w:r>
      <w:r>
        <w:rPr>
          <w:rFonts w:ascii="华文仿宋" w:hAnsi="华文仿宋" w:eastAsia="华文仿宋" w:cs="宋体"/>
          <w:bCs/>
          <w:color w:val="000000"/>
          <w:kern w:val="0"/>
          <w:sz w:val="24"/>
        </w:rPr>
        <w:t>5%</w:t>
      </w:r>
      <w:r>
        <w:rPr>
          <w:rFonts w:hint="eastAsia" w:ascii="华文仿宋" w:hAnsi="华文仿宋" w:eastAsia="华文仿宋" w:cs="宋体"/>
          <w:bCs/>
          <w:color w:val="000000"/>
          <w:kern w:val="0"/>
          <w:sz w:val="24"/>
        </w:rPr>
        <w:t>，通过，进入下一环节；</w:t>
      </w:r>
    </w:p>
    <w:p>
      <w:pPr>
        <w:widowControl/>
        <w:spacing w:line="400" w:lineRule="atLeast"/>
        <w:ind w:firstLine="422"/>
        <w:jc w:val="left"/>
        <w:rPr>
          <w:rFonts w:ascii="华文仿宋" w:hAnsi="华文仿宋" w:eastAsia="华文仿宋" w:cs="宋体"/>
          <w:bCs/>
          <w:color w:val="000000"/>
          <w:kern w:val="0"/>
          <w:sz w:val="24"/>
        </w:rPr>
      </w:pPr>
      <w:r>
        <w:rPr>
          <w:rFonts w:ascii="华文仿宋" w:hAnsi="华文仿宋" w:eastAsia="华文仿宋" w:cs="宋体"/>
          <w:bCs/>
          <w:color w:val="000000"/>
          <w:kern w:val="0"/>
          <w:sz w:val="24"/>
        </w:rPr>
        <w:t>4</w:t>
      </w:r>
      <w:r>
        <w:rPr>
          <w:rFonts w:hint="eastAsia" w:ascii="华文仿宋" w:hAnsi="华文仿宋" w:eastAsia="华文仿宋" w:cs="宋体"/>
          <w:bCs/>
          <w:color w:val="000000"/>
          <w:kern w:val="0"/>
          <w:sz w:val="24"/>
        </w:rPr>
        <w:t>、论文送审：由</w:t>
      </w:r>
      <w:r>
        <w:rPr>
          <w:rFonts w:ascii="华文仿宋" w:hAnsi="华文仿宋" w:eastAsia="华文仿宋" w:cs="宋体"/>
          <w:bCs/>
          <w:color w:val="000000"/>
          <w:kern w:val="0"/>
          <w:sz w:val="24"/>
        </w:rPr>
        <w:t>2</w:t>
      </w:r>
      <w:r>
        <w:rPr>
          <w:rFonts w:hint="eastAsia" w:ascii="华文仿宋" w:hAnsi="华文仿宋" w:eastAsia="华文仿宋" w:cs="宋体"/>
          <w:bCs/>
          <w:color w:val="000000"/>
          <w:kern w:val="0"/>
          <w:sz w:val="24"/>
        </w:rPr>
        <w:t>名副高以上职称专家对论文进行评审，全部评审通过，同意答辩，进入下一环节；</w:t>
      </w:r>
    </w:p>
    <w:p>
      <w:pPr>
        <w:widowControl/>
        <w:spacing w:line="400" w:lineRule="atLeast"/>
        <w:ind w:firstLine="422"/>
        <w:jc w:val="left"/>
        <w:rPr>
          <w:rFonts w:ascii="华文仿宋" w:hAnsi="华文仿宋" w:eastAsia="华文仿宋" w:cs="宋体"/>
          <w:bCs/>
          <w:color w:val="000000"/>
          <w:kern w:val="0"/>
          <w:sz w:val="24"/>
        </w:rPr>
      </w:pPr>
      <w:r>
        <w:rPr>
          <w:rFonts w:ascii="华文仿宋" w:hAnsi="华文仿宋" w:eastAsia="华文仿宋" w:cs="宋体"/>
          <w:bCs/>
          <w:color w:val="000000"/>
          <w:kern w:val="0"/>
          <w:sz w:val="24"/>
        </w:rPr>
        <w:t>5</w:t>
      </w:r>
      <w:r>
        <w:rPr>
          <w:rFonts w:hint="eastAsia" w:ascii="华文仿宋" w:hAnsi="华文仿宋" w:eastAsia="华文仿宋" w:cs="宋体"/>
          <w:bCs/>
          <w:color w:val="000000"/>
          <w:kern w:val="0"/>
          <w:sz w:val="24"/>
        </w:rPr>
        <w:t>、组织答辩会并发布答辩公告：导师负责答辩小组成员召集，学院审核答辩小组成员资格，通过，在研究生管理系统内设置答辩秘书，答辩秘书通过研究生管理系统发布答辩公告，进入下一环节。答辩公告发布</w:t>
      </w:r>
      <w:r>
        <w:rPr>
          <w:rFonts w:ascii="华文仿宋" w:hAnsi="华文仿宋" w:eastAsia="华文仿宋" w:cs="宋体"/>
          <w:bCs/>
          <w:color w:val="000000"/>
          <w:kern w:val="0"/>
          <w:sz w:val="24"/>
        </w:rPr>
        <w:t>3</w:t>
      </w:r>
      <w:r>
        <w:rPr>
          <w:rFonts w:hint="eastAsia" w:ascii="华文仿宋" w:hAnsi="华文仿宋" w:eastAsia="华文仿宋" w:cs="宋体"/>
          <w:bCs/>
          <w:color w:val="000000"/>
          <w:kern w:val="0"/>
          <w:sz w:val="24"/>
        </w:rPr>
        <w:t>日后方可举行答辩；</w:t>
      </w:r>
    </w:p>
    <w:p>
      <w:pPr>
        <w:widowControl/>
        <w:spacing w:line="400" w:lineRule="atLeast"/>
        <w:ind w:firstLine="422"/>
        <w:jc w:val="left"/>
        <w:rPr>
          <w:rFonts w:ascii="华文仿宋" w:hAnsi="华文仿宋" w:eastAsia="华文仿宋" w:cs="宋体"/>
          <w:bCs/>
          <w:color w:val="000000"/>
          <w:kern w:val="0"/>
          <w:sz w:val="24"/>
        </w:rPr>
      </w:pPr>
      <w:r>
        <w:rPr>
          <w:rFonts w:ascii="华文仿宋" w:hAnsi="华文仿宋" w:eastAsia="华文仿宋" w:cs="宋体"/>
          <w:bCs/>
          <w:color w:val="000000"/>
          <w:kern w:val="0"/>
          <w:sz w:val="24"/>
        </w:rPr>
        <w:t>6</w:t>
      </w:r>
      <w:r>
        <w:rPr>
          <w:rFonts w:hint="eastAsia" w:ascii="华文仿宋" w:hAnsi="华文仿宋" w:eastAsia="华文仿宋" w:cs="宋体"/>
          <w:bCs/>
          <w:color w:val="000000"/>
          <w:kern w:val="0"/>
          <w:sz w:val="24"/>
        </w:rPr>
        <w:t>、答辩：</w:t>
      </w:r>
      <w:r>
        <w:rPr>
          <w:rFonts w:hint="eastAsia" w:ascii="仿宋_GB2312" w:eastAsia="仿宋_GB2312" w:cs="宋体"/>
          <w:sz w:val="23"/>
          <w:szCs w:val="23"/>
        </w:rPr>
        <w:t>学生运用多媒体（</w:t>
      </w:r>
      <w:r>
        <w:rPr>
          <w:rFonts w:ascii="仿宋_GB2312" w:eastAsia="仿宋_GB2312" w:cs="宋体"/>
          <w:sz w:val="23"/>
          <w:szCs w:val="23"/>
        </w:rPr>
        <w:t>PPT</w:t>
      </w:r>
      <w:r>
        <w:rPr>
          <w:rFonts w:hint="eastAsia" w:ascii="仿宋_GB2312" w:eastAsia="仿宋_GB2312" w:cs="宋体"/>
          <w:sz w:val="23"/>
          <w:szCs w:val="23"/>
        </w:rPr>
        <w:t>）进行论文汇报</w:t>
      </w:r>
      <w:r>
        <w:rPr>
          <w:rFonts w:hint="eastAsia" w:ascii="仿宋_GB2312" w:eastAsia="仿宋_GB2312" w:cs="宋体"/>
          <w:color w:val="000000"/>
          <w:sz w:val="23"/>
          <w:szCs w:val="23"/>
        </w:rPr>
        <w:t>并接受专家对论文的学术水平评议审定。</w:t>
      </w:r>
      <w:r>
        <w:rPr>
          <w:rFonts w:hint="eastAsia" w:ascii="华文仿宋" w:hAnsi="华文仿宋" w:eastAsia="华文仿宋" w:cs="宋体"/>
          <w:bCs/>
          <w:color w:val="000000"/>
          <w:kern w:val="0"/>
          <w:sz w:val="24"/>
        </w:rPr>
        <w:t>通过，进入下一环节；</w:t>
      </w:r>
    </w:p>
    <w:p>
      <w:pPr>
        <w:widowControl/>
        <w:spacing w:line="400" w:lineRule="atLeast"/>
        <w:ind w:firstLine="422"/>
        <w:jc w:val="left"/>
        <w:rPr>
          <w:rFonts w:ascii="华文仿宋" w:hAnsi="华文仿宋" w:eastAsia="华文仿宋" w:cs="宋体"/>
          <w:bCs/>
          <w:color w:val="000000"/>
          <w:kern w:val="0"/>
          <w:sz w:val="24"/>
        </w:rPr>
      </w:pPr>
      <w:r>
        <w:rPr>
          <w:rFonts w:ascii="华文仿宋" w:hAnsi="华文仿宋" w:eastAsia="华文仿宋" w:cs="宋体"/>
          <w:bCs/>
          <w:color w:val="000000"/>
          <w:kern w:val="0"/>
          <w:sz w:val="24"/>
        </w:rPr>
        <w:t>7</w:t>
      </w:r>
      <w:r>
        <w:rPr>
          <w:rFonts w:hint="eastAsia" w:ascii="华文仿宋" w:hAnsi="华文仿宋" w:eastAsia="华文仿宋" w:cs="宋体"/>
          <w:bCs/>
          <w:color w:val="000000"/>
          <w:kern w:val="0"/>
          <w:sz w:val="24"/>
        </w:rPr>
        <w:t>、学位信息采集：答辩通过后，学生登录研究生管理系统进行学位信息采集并上传采集照片，信息核对无误后下载、打印并签字；</w:t>
      </w:r>
    </w:p>
    <w:p>
      <w:pPr>
        <w:widowControl/>
        <w:spacing w:line="400" w:lineRule="atLeast"/>
        <w:ind w:firstLine="422"/>
        <w:jc w:val="left"/>
        <w:rPr>
          <w:rFonts w:ascii="华文仿宋" w:hAnsi="华文仿宋" w:eastAsia="华文仿宋" w:cs="宋体"/>
          <w:bCs/>
          <w:color w:val="000000"/>
          <w:kern w:val="0"/>
          <w:sz w:val="24"/>
        </w:rPr>
      </w:pPr>
      <w:r>
        <w:rPr>
          <w:rFonts w:ascii="华文仿宋" w:hAnsi="华文仿宋" w:eastAsia="华文仿宋" w:cs="宋体"/>
          <w:bCs/>
          <w:color w:val="000000"/>
          <w:kern w:val="0"/>
          <w:sz w:val="24"/>
        </w:rPr>
        <w:t>8</w:t>
      </w:r>
      <w:r>
        <w:rPr>
          <w:rFonts w:hint="eastAsia" w:ascii="华文仿宋" w:hAnsi="华文仿宋" w:eastAsia="华文仿宋" w:cs="宋体"/>
          <w:bCs/>
          <w:color w:val="000000"/>
          <w:kern w:val="0"/>
          <w:sz w:val="24"/>
        </w:rPr>
        <w:t>、答辩后提交材料：学生根据答辩会上专家提出意见和建议，对论文再次进行修订，按提交要求装订正式提交版纸质论文，同版论文电子版和答辩过程中产生的签章齐全的过程材料上交学院；</w:t>
      </w:r>
    </w:p>
    <w:p>
      <w:pPr>
        <w:widowControl/>
        <w:spacing w:line="400" w:lineRule="atLeast"/>
        <w:ind w:firstLine="422"/>
        <w:jc w:val="left"/>
        <w:rPr>
          <w:rFonts w:ascii="华文仿宋" w:hAnsi="华文仿宋" w:eastAsia="华文仿宋" w:cs="宋体"/>
          <w:bCs/>
          <w:color w:val="000000"/>
          <w:kern w:val="0"/>
          <w:sz w:val="24"/>
        </w:rPr>
      </w:pPr>
      <w:r>
        <w:rPr>
          <w:rFonts w:ascii="华文仿宋" w:hAnsi="华文仿宋" w:eastAsia="华文仿宋" w:cs="宋体"/>
          <w:bCs/>
          <w:color w:val="000000"/>
          <w:kern w:val="0"/>
          <w:sz w:val="24"/>
        </w:rPr>
        <w:t>9</w:t>
      </w:r>
      <w:r>
        <w:rPr>
          <w:rFonts w:hint="eastAsia" w:ascii="华文仿宋" w:hAnsi="华文仿宋" w:eastAsia="华文仿宋" w:cs="宋体"/>
          <w:bCs/>
          <w:color w:val="000000"/>
          <w:kern w:val="0"/>
          <w:sz w:val="24"/>
        </w:rPr>
        <w:t>、毕业照片采集：可同任何环节同时进行，没有时间先后限制。采集地点：北校区大门外“西农数码”。</w:t>
      </w:r>
    </w:p>
    <w:p>
      <w:pPr>
        <w:widowControl/>
        <w:spacing w:line="400" w:lineRule="atLeast"/>
        <w:jc w:val="left"/>
        <w:rPr>
          <w:rFonts w:ascii="华文仿宋" w:hAnsi="华文仿宋" w:eastAsia="华文仿宋" w:cs="宋体"/>
          <w:color w:val="000000"/>
          <w:kern w:val="0"/>
          <w:sz w:val="24"/>
        </w:rPr>
      </w:pPr>
    </w:p>
    <w:p>
      <w:pPr>
        <w:widowControl/>
        <w:spacing w:line="400" w:lineRule="atLeast"/>
        <w:ind w:firstLine="480" w:firstLineChars="200"/>
        <w:jc w:val="center"/>
        <w:rPr>
          <w:rFonts w:ascii="华文仿宋" w:hAnsi="华文仿宋" w:eastAsia="华文仿宋" w:cs="宋体"/>
          <w:color w:val="000000"/>
          <w:kern w:val="0"/>
          <w:sz w:val="24"/>
        </w:rPr>
      </w:pPr>
      <w:r>
        <w:rPr>
          <w:rFonts w:ascii="华文仿宋" w:hAnsi="华文仿宋" w:eastAsia="华文仿宋" w:cs="宋体"/>
          <w:color w:val="000000"/>
          <w:kern w:val="0"/>
          <w:sz w:val="24"/>
        </w:rPr>
        <w:t xml:space="preserve">                      </w:t>
      </w:r>
      <w:r>
        <w:rPr>
          <w:rFonts w:hint="eastAsia" w:ascii="华文仿宋" w:hAnsi="华文仿宋" w:eastAsia="华文仿宋" w:cs="宋体"/>
          <w:color w:val="000000"/>
          <w:kern w:val="0"/>
          <w:sz w:val="24"/>
        </w:rPr>
        <w:t>西北农林科技大学经济管理学院</w:t>
      </w:r>
    </w:p>
    <w:p>
      <w:pPr>
        <w:widowControl/>
        <w:spacing w:line="400" w:lineRule="atLeast"/>
        <w:ind w:firstLine="630"/>
        <w:jc w:val="center"/>
        <w:rPr>
          <w:rFonts w:ascii="华文仿宋" w:hAnsi="华文仿宋" w:eastAsia="华文仿宋" w:cs="宋体"/>
          <w:color w:val="000000"/>
          <w:kern w:val="0"/>
          <w:sz w:val="24"/>
        </w:rPr>
      </w:pPr>
      <w:bookmarkStart w:id="0" w:name="_GoBack"/>
      <w:bookmarkEnd w:id="0"/>
      <w:r>
        <w:rPr>
          <w:rFonts w:ascii="华文仿宋" w:hAnsi="华文仿宋" w:eastAsia="华文仿宋" w:cs="宋体"/>
          <w:color w:val="000000"/>
          <w:kern w:val="0"/>
          <w:sz w:val="24"/>
        </w:rPr>
        <w:t xml:space="preserve">                  201</w:t>
      </w:r>
      <w:r>
        <w:rPr>
          <w:rFonts w:hint="eastAsia" w:ascii="华文仿宋" w:hAnsi="华文仿宋" w:eastAsia="华文仿宋" w:cs="宋体"/>
          <w:color w:val="000000"/>
          <w:kern w:val="0"/>
          <w:sz w:val="24"/>
          <w:lang w:val="en-US" w:eastAsia="zh-CN"/>
        </w:rPr>
        <w:t>9</w:t>
      </w:r>
      <w:r>
        <w:rPr>
          <w:rFonts w:hint="eastAsia" w:ascii="华文仿宋" w:hAnsi="华文仿宋" w:eastAsia="华文仿宋" w:cs="宋体"/>
          <w:color w:val="000000"/>
          <w:kern w:val="0"/>
          <w:sz w:val="24"/>
        </w:rPr>
        <w:t>年</w:t>
      </w:r>
      <w:r>
        <w:rPr>
          <w:rFonts w:hint="eastAsia" w:ascii="华文仿宋" w:hAnsi="华文仿宋" w:eastAsia="华文仿宋" w:cs="宋体"/>
          <w:color w:val="000000"/>
          <w:kern w:val="0"/>
          <w:sz w:val="24"/>
          <w:lang w:val="en-US" w:eastAsia="zh-CN"/>
        </w:rPr>
        <w:t>3</w:t>
      </w:r>
      <w:r>
        <w:rPr>
          <w:rFonts w:hint="eastAsia" w:ascii="华文仿宋" w:hAnsi="华文仿宋" w:eastAsia="华文仿宋" w:cs="宋体"/>
          <w:color w:val="000000"/>
          <w:kern w:val="0"/>
          <w:sz w:val="24"/>
        </w:rPr>
        <w:t>月</w:t>
      </w:r>
      <w:r>
        <w:rPr>
          <w:rFonts w:hint="eastAsia" w:ascii="华文仿宋" w:hAnsi="华文仿宋" w:eastAsia="华文仿宋" w:cs="宋体"/>
          <w:color w:val="000000"/>
          <w:kern w:val="0"/>
          <w:sz w:val="24"/>
          <w:lang w:val="en-US" w:eastAsia="zh-CN"/>
        </w:rPr>
        <w:t>7</w:t>
      </w:r>
      <w:r>
        <w:rPr>
          <w:rFonts w:hint="eastAsia" w:ascii="华文仿宋" w:hAnsi="华文仿宋" w:eastAsia="华文仿宋" w:cs="宋体"/>
          <w:color w:val="000000"/>
          <w:kern w:val="0"/>
          <w:sz w:val="24"/>
        </w:rPr>
        <w:t>日</w:t>
      </w:r>
    </w:p>
    <w:sectPr>
      <w:pgSz w:w="11906" w:h="16838"/>
      <w:pgMar w:top="964" w:right="1797" w:bottom="96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72F2A"/>
    <w:rsid w:val="00012C61"/>
    <w:rsid w:val="0002650D"/>
    <w:rsid w:val="00030F8B"/>
    <w:rsid w:val="0003492F"/>
    <w:rsid w:val="00042696"/>
    <w:rsid w:val="00055091"/>
    <w:rsid w:val="00072F2A"/>
    <w:rsid w:val="000804C4"/>
    <w:rsid w:val="000B2C3C"/>
    <w:rsid w:val="000C25C7"/>
    <w:rsid w:val="000C7130"/>
    <w:rsid w:val="00122AFC"/>
    <w:rsid w:val="00133AC1"/>
    <w:rsid w:val="00167256"/>
    <w:rsid w:val="00172224"/>
    <w:rsid w:val="00172F81"/>
    <w:rsid w:val="001D42D1"/>
    <w:rsid w:val="002123FB"/>
    <w:rsid w:val="00247B96"/>
    <w:rsid w:val="00253AD5"/>
    <w:rsid w:val="00285EC8"/>
    <w:rsid w:val="00295E56"/>
    <w:rsid w:val="003657BF"/>
    <w:rsid w:val="00365DA8"/>
    <w:rsid w:val="003B3838"/>
    <w:rsid w:val="00404DF1"/>
    <w:rsid w:val="00421B4A"/>
    <w:rsid w:val="0043421B"/>
    <w:rsid w:val="004536AB"/>
    <w:rsid w:val="004550F1"/>
    <w:rsid w:val="00461A4D"/>
    <w:rsid w:val="0046281C"/>
    <w:rsid w:val="00464140"/>
    <w:rsid w:val="00472E65"/>
    <w:rsid w:val="004C45C9"/>
    <w:rsid w:val="00526981"/>
    <w:rsid w:val="005669C2"/>
    <w:rsid w:val="00575E36"/>
    <w:rsid w:val="00584F2E"/>
    <w:rsid w:val="005A507D"/>
    <w:rsid w:val="005C7E22"/>
    <w:rsid w:val="005D4BE6"/>
    <w:rsid w:val="005F2D91"/>
    <w:rsid w:val="006108F3"/>
    <w:rsid w:val="006124F1"/>
    <w:rsid w:val="00633E08"/>
    <w:rsid w:val="00636B53"/>
    <w:rsid w:val="00647C0D"/>
    <w:rsid w:val="006A34A7"/>
    <w:rsid w:val="006A482D"/>
    <w:rsid w:val="006B37BE"/>
    <w:rsid w:val="006B5322"/>
    <w:rsid w:val="007271B3"/>
    <w:rsid w:val="00731546"/>
    <w:rsid w:val="007647D3"/>
    <w:rsid w:val="00784597"/>
    <w:rsid w:val="00796A1A"/>
    <w:rsid w:val="007F3D6F"/>
    <w:rsid w:val="00803320"/>
    <w:rsid w:val="0081166A"/>
    <w:rsid w:val="00836F8B"/>
    <w:rsid w:val="0084120D"/>
    <w:rsid w:val="008771AC"/>
    <w:rsid w:val="008876FA"/>
    <w:rsid w:val="008C7229"/>
    <w:rsid w:val="008D457F"/>
    <w:rsid w:val="008F29A3"/>
    <w:rsid w:val="00903D49"/>
    <w:rsid w:val="009230FC"/>
    <w:rsid w:val="009324A1"/>
    <w:rsid w:val="00982145"/>
    <w:rsid w:val="009931F4"/>
    <w:rsid w:val="009A0F60"/>
    <w:rsid w:val="009A2A64"/>
    <w:rsid w:val="009A4918"/>
    <w:rsid w:val="009B6647"/>
    <w:rsid w:val="009C6113"/>
    <w:rsid w:val="009D1292"/>
    <w:rsid w:val="009D2970"/>
    <w:rsid w:val="009D6034"/>
    <w:rsid w:val="00A256C0"/>
    <w:rsid w:val="00A64D3C"/>
    <w:rsid w:val="00AB5FDD"/>
    <w:rsid w:val="00AD5A7A"/>
    <w:rsid w:val="00AE45BC"/>
    <w:rsid w:val="00B14424"/>
    <w:rsid w:val="00B34370"/>
    <w:rsid w:val="00B50D26"/>
    <w:rsid w:val="00B9660E"/>
    <w:rsid w:val="00BA5E05"/>
    <w:rsid w:val="00BD1B3B"/>
    <w:rsid w:val="00BF40E0"/>
    <w:rsid w:val="00C36117"/>
    <w:rsid w:val="00C65DD3"/>
    <w:rsid w:val="00C84180"/>
    <w:rsid w:val="00C94B3A"/>
    <w:rsid w:val="00CF30F0"/>
    <w:rsid w:val="00CF4269"/>
    <w:rsid w:val="00D00733"/>
    <w:rsid w:val="00D04140"/>
    <w:rsid w:val="00D21215"/>
    <w:rsid w:val="00D6258E"/>
    <w:rsid w:val="00D920E2"/>
    <w:rsid w:val="00DA20FE"/>
    <w:rsid w:val="00DA526F"/>
    <w:rsid w:val="00DB6DB4"/>
    <w:rsid w:val="00DC55CF"/>
    <w:rsid w:val="00DD37BE"/>
    <w:rsid w:val="00E2440B"/>
    <w:rsid w:val="00E27C34"/>
    <w:rsid w:val="00E733AC"/>
    <w:rsid w:val="00E841DB"/>
    <w:rsid w:val="00E84526"/>
    <w:rsid w:val="00E9529E"/>
    <w:rsid w:val="00EC62D2"/>
    <w:rsid w:val="00EE5D53"/>
    <w:rsid w:val="00F05DDE"/>
    <w:rsid w:val="00F2508B"/>
    <w:rsid w:val="00F435B6"/>
    <w:rsid w:val="00F45979"/>
    <w:rsid w:val="5599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Hyperlink"/>
    <w:uiPriority w:val="99"/>
    <w:rPr>
      <w:rFonts w:cs="Times New Roman"/>
      <w:color w:val="0000FF"/>
      <w:u w:val="single"/>
    </w:rPr>
  </w:style>
  <w:style w:type="character" w:customStyle="1" w:styleId="9">
    <w:name w:val="apple-converted-space"/>
    <w:uiPriority w:val="99"/>
    <w:rPr>
      <w:rFonts w:cs="Times New Roman"/>
    </w:rPr>
  </w:style>
  <w:style w:type="character" w:customStyle="1" w:styleId="10">
    <w:name w:val="页眉 Char"/>
    <w:link w:val="4"/>
    <w:locked/>
    <w:uiPriority w:val="99"/>
    <w:rPr>
      <w:rFonts w:cs="Times New Roman"/>
      <w:kern w:val="2"/>
      <w:sz w:val="18"/>
      <w:szCs w:val="18"/>
    </w:rPr>
  </w:style>
  <w:style w:type="character" w:customStyle="1" w:styleId="11">
    <w:name w:val="页脚 Char"/>
    <w:link w:val="3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2">
    <w:name w:val="批注框文本 Char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WWW.YlmF.CoM</Company>
  <Pages>3</Pages>
  <Words>194</Words>
  <Characters>1107</Characters>
  <Lines>9</Lines>
  <Paragraphs>2</Paragraphs>
  <TotalTime>376</TotalTime>
  <ScaleCrop>false</ScaleCrop>
  <LinksUpToDate>false</LinksUpToDate>
  <CharactersWithSpaces>1299</CharactersWithSpaces>
  <Application>WPS Office_11.1.0.8013_F1E327BC-269C-435d-A152-05C5408002CA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2017-03-06T08:14:00Z</dcterms:created>
  <dc:creator>雨林木风</dc:creator>
  <cp:lastModifiedBy>Administrator</cp:lastModifiedBy>
  <cp:lastPrinted>2018-03-05T06:35:00Z</cp:lastPrinted>
  <dcterms:modified xsi:type="dcterms:W3CDTF">2019-03-07T07:56:35Z</dcterms:modified>
  <dc:title>关于做好2017年上半年在职农业推广硕士学位论文答辩工作安排的通知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2052-11.1.0.8013</vt:lpwstr>
  </property>
</Properties>
</file>